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DBF" w:rsidRPr="00CE0DBF" w:rsidRDefault="00CE0DBF" w:rsidP="00CE0D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E0DBF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проведению урока</w:t>
      </w:r>
      <w:r w:rsidR="006820E7">
        <w:rPr>
          <w:rFonts w:ascii="Times New Roman" w:hAnsi="Times New Roman" w:cs="Times New Roman"/>
          <w:b/>
          <w:bCs/>
          <w:sz w:val="28"/>
          <w:szCs w:val="28"/>
        </w:rPr>
        <w:t xml:space="preserve"> по теме:</w:t>
      </w:r>
    </w:p>
    <w:p w:rsidR="00CE0DBF" w:rsidRDefault="00CE0DBF" w:rsidP="00CE0D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DBF" w:rsidRDefault="00CE0DBF" w:rsidP="00CE0D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BF">
        <w:rPr>
          <w:rFonts w:ascii="Times New Roman" w:hAnsi="Times New Roman" w:cs="Times New Roman"/>
          <w:b/>
          <w:bCs/>
          <w:sz w:val="28"/>
          <w:szCs w:val="28"/>
        </w:rPr>
        <w:t xml:space="preserve">«Гражданская ответственность, </w:t>
      </w:r>
    </w:p>
    <w:p w:rsidR="007315F6" w:rsidRPr="00CE0DBF" w:rsidRDefault="00CE0DBF" w:rsidP="00CE0DBF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0DBF">
        <w:rPr>
          <w:rFonts w:ascii="Times New Roman" w:hAnsi="Times New Roman" w:cs="Times New Roman"/>
          <w:b/>
          <w:bCs/>
          <w:sz w:val="28"/>
          <w:szCs w:val="28"/>
        </w:rPr>
        <w:t>как залог успешного развития моей Отчизны»</w:t>
      </w:r>
    </w:p>
    <w:p w:rsidR="00CE0DBF" w:rsidRDefault="00CE0DBF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E0DBF" w:rsidRDefault="00CE0DBF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методические рекомендации предназначены для использования учителями истории, обществознания, классными руководителями</w:t>
      </w:r>
      <w:r w:rsidR="003E7BFC">
        <w:rPr>
          <w:rFonts w:ascii="Times New Roman" w:hAnsi="Times New Roman" w:cs="Times New Roman"/>
          <w:sz w:val="28"/>
          <w:szCs w:val="28"/>
        </w:rPr>
        <w:t>, администраторами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 в системе внеклассной и внеурочной деятельности, направленной на формирования социально-значимых качеств учащихся 8-11 классов.</w:t>
      </w:r>
      <w:r w:rsidR="003222D8">
        <w:rPr>
          <w:rFonts w:ascii="Times New Roman" w:hAnsi="Times New Roman" w:cs="Times New Roman"/>
          <w:sz w:val="28"/>
          <w:szCs w:val="28"/>
        </w:rPr>
        <w:t xml:space="preserve"> Необходимо признать, что сложность темы, ее дискуссионность предполагает более целесообразным проведение урока учителями истории и обществознания.</w:t>
      </w:r>
    </w:p>
    <w:p w:rsidR="00CE0DBF" w:rsidRDefault="00CE0DBF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BFC" w:rsidRDefault="003E7BFC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этапе планирования </w:t>
      </w:r>
      <w:r w:rsidR="00410B5D">
        <w:rPr>
          <w:rFonts w:ascii="Times New Roman" w:hAnsi="Times New Roman" w:cs="Times New Roman"/>
          <w:sz w:val="28"/>
          <w:szCs w:val="28"/>
        </w:rPr>
        <w:t xml:space="preserve">и подготовки </w:t>
      </w:r>
      <w:r>
        <w:rPr>
          <w:rFonts w:ascii="Times New Roman" w:hAnsi="Times New Roman" w:cs="Times New Roman"/>
          <w:sz w:val="28"/>
          <w:szCs w:val="28"/>
        </w:rPr>
        <w:t>урока педагог должен составить себе четкое представление о социально-психологическом портрете классного коллектива (степень сформированности детского коллектива; наличия формальных и неформальных лидеров; уровень и содержания контактов учащихся с педагогами по вопросам, выходящим за рамки формализованной образовательной программы; осведомленность учащихся о событиях текущей политической ситуации; охват учащихся системой внеурочной и внеклассной деятельности;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 вовлеченности учащихся в деятельность детских и общественных объединений; палитра демонстрации учащимися своих мнений по вопросам общественно-политической жизни в социальных сетях и в форме публичных заявлений; освоение учащимися теоретического материала по предметам «Обществознание», «История России.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Всеобщая история»</w:t>
      </w:r>
      <w:r w:rsidR="00862AE0">
        <w:rPr>
          <w:rFonts w:ascii="Times New Roman" w:hAnsi="Times New Roman" w:cs="Times New Roman"/>
          <w:sz w:val="28"/>
          <w:szCs w:val="28"/>
        </w:rPr>
        <w:t>, «Право», «Литература»; превалирующие в тех или иных семьях систем</w:t>
      </w:r>
      <w:r w:rsidR="00410B5D">
        <w:rPr>
          <w:rFonts w:ascii="Times New Roman" w:hAnsi="Times New Roman" w:cs="Times New Roman"/>
          <w:sz w:val="28"/>
          <w:szCs w:val="28"/>
        </w:rPr>
        <w:t>ы</w:t>
      </w:r>
      <w:r w:rsidR="00862AE0">
        <w:rPr>
          <w:rFonts w:ascii="Times New Roman" w:hAnsi="Times New Roman" w:cs="Times New Roman"/>
          <w:sz w:val="28"/>
          <w:szCs w:val="28"/>
        </w:rPr>
        <w:t xml:space="preserve"> ценностных ориентиров и жизненных установок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3E7BFC" w:rsidRDefault="003E7BFC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Понимание педагогом вышеозначенных позиций позволит наиболее эффективно выстроить диалог </w:t>
      </w:r>
      <w:r w:rsidR="006820E7">
        <w:rPr>
          <w:rFonts w:ascii="Times New Roman" w:hAnsi="Times New Roman" w:cs="Times New Roman"/>
          <w:sz w:val="28"/>
          <w:szCs w:val="28"/>
        </w:rPr>
        <w:t>с учащими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862AE0">
        <w:rPr>
          <w:rFonts w:ascii="Times New Roman" w:hAnsi="Times New Roman" w:cs="Times New Roman"/>
          <w:sz w:val="28"/>
          <w:szCs w:val="28"/>
        </w:rPr>
        <w:t>, учесть степень их открытости к диалогу</w:t>
      </w:r>
      <w:r w:rsidR="00410B5D">
        <w:rPr>
          <w:rFonts w:ascii="Times New Roman" w:hAnsi="Times New Roman" w:cs="Times New Roman"/>
          <w:sz w:val="28"/>
          <w:szCs w:val="28"/>
        </w:rPr>
        <w:t>, создать на уроке доверительное общение без излишнего начетничества и назидательности</w:t>
      </w:r>
      <w:r w:rsidR="005C3EB2">
        <w:rPr>
          <w:rFonts w:ascii="Times New Roman" w:hAnsi="Times New Roman" w:cs="Times New Roman"/>
          <w:sz w:val="28"/>
          <w:szCs w:val="28"/>
        </w:rPr>
        <w:t>.</w:t>
      </w:r>
    </w:p>
    <w:p w:rsidR="00A86E31" w:rsidRDefault="00A86E31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педагог осознает, что </w:t>
      </w:r>
      <w:r w:rsidR="009D5953">
        <w:rPr>
          <w:rFonts w:ascii="Times New Roman" w:hAnsi="Times New Roman" w:cs="Times New Roman"/>
          <w:sz w:val="28"/>
          <w:szCs w:val="28"/>
        </w:rPr>
        <w:t>объем</w:t>
      </w:r>
      <w:r>
        <w:rPr>
          <w:rFonts w:ascii="Times New Roman" w:hAnsi="Times New Roman" w:cs="Times New Roman"/>
          <w:sz w:val="28"/>
          <w:szCs w:val="28"/>
        </w:rPr>
        <w:t xml:space="preserve"> знаний по рассматриваемой проблеме, понимание образовательно-воспитательной ситуации в классе</w:t>
      </w:r>
      <w:r w:rsidR="009D5953">
        <w:rPr>
          <w:rFonts w:ascii="Times New Roman" w:hAnsi="Times New Roman" w:cs="Times New Roman"/>
          <w:sz w:val="28"/>
          <w:szCs w:val="28"/>
        </w:rPr>
        <w:t xml:space="preserve">, владение аудиториейв данном конкретном детском коллективе </w:t>
      </w:r>
      <w:r>
        <w:rPr>
          <w:rFonts w:ascii="Times New Roman" w:hAnsi="Times New Roman" w:cs="Times New Roman"/>
          <w:sz w:val="28"/>
          <w:szCs w:val="28"/>
        </w:rPr>
        <w:t xml:space="preserve">у него на недостаточном уровне, следует воздержаться от проведения урока до момента выхода учителя на требуемый </w:t>
      </w:r>
      <w:r w:rsidR="009D5953">
        <w:rPr>
          <w:rFonts w:ascii="Times New Roman" w:hAnsi="Times New Roman" w:cs="Times New Roman"/>
          <w:sz w:val="28"/>
          <w:szCs w:val="28"/>
        </w:rPr>
        <w:t xml:space="preserve">уровень сформированности педагогических компетенций. </w:t>
      </w:r>
    </w:p>
    <w:p w:rsidR="006820E7" w:rsidRDefault="006820E7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3EB2" w:rsidRPr="006820E7" w:rsidRDefault="006820E7" w:rsidP="00862AE0">
      <w:pPr>
        <w:pStyle w:val="a3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0E7">
        <w:rPr>
          <w:rFonts w:ascii="Times New Roman" w:hAnsi="Times New Roman" w:cs="Times New Roman"/>
          <w:b/>
          <w:i/>
          <w:sz w:val="28"/>
          <w:szCs w:val="28"/>
        </w:rPr>
        <w:t>Обращаем внимание педагогов, что в зависимости от конкретной образовательной ситуации в классе, цели и задачи урока, методы и средства обучения могут быть скорректированы.</w:t>
      </w:r>
    </w:p>
    <w:p w:rsid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862A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20E7" w:rsidRDefault="006820E7" w:rsidP="00862A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2888" w:rsidRP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28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УРОКА: </w:t>
      </w:r>
    </w:p>
    <w:p w:rsidR="00592888" w:rsidRPr="00592888" w:rsidRDefault="00592888" w:rsidP="00862AE0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8DA" w:rsidRDefault="005C3EB2" w:rsidP="003918D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целесообразным представляется начать урок </w:t>
      </w:r>
      <w:r w:rsidR="003918DA">
        <w:rPr>
          <w:rFonts w:ascii="Times New Roman" w:hAnsi="Times New Roman" w:cs="Times New Roman"/>
          <w:sz w:val="28"/>
          <w:szCs w:val="28"/>
        </w:rPr>
        <w:t xml:space="preserve">без предварительного озвучивания темы и целеполагания, с демонстрации портрета В.О. Ключевского (слайд №1), опознать которого педагог может предложить учащимся. Учитель акцентирует внимание учеников на том, что В.О. Ключевский был не только выдающимся историком, но и прекрасным преподавателем, лектором, который был очень популярен у студенческой молодежи, используя цитату из книги В.А. </w:t>
      </w:r>
      <w:proofErr w:type="spellStart"/>
      <w:r w:rsidR="003918DA">
        <w:rPr>
          <w:rFonts w:ascii="Times New Roman" w:hAnsi="Times New Roman" w:cs="Times New Roman"/>
          <w:sz w:val="28"/>
          <w:szCs w:val="28"/>
        </w:rPr>
        <w:t>Садовничего</w:t>
      </w:r>
      <w:proofErr w:type="spellEnd"/>
      <w:r w:rsidR="003918DA">
        <w:rPr>
          <w:rFonts w:ascii="Times New Roman" w:hAnsi="Times New Roman" w:cs="Times New Roman"/>
          <w:sz w:val="28"/>
          <w:szCs w:val="28"/>
        </w:rPr>
        <w:t xml:space="preserve"> «О людях Московского университета». М., Издание МГУ, 2019 год, стр.58:</w:t>
      </w:r>
    </w:p>
    <w:p w:rsidR="002D2852" w:rsidRDefault="002D2852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DA" w:rsidRDefault="003918DA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918DA">
        <w:rPr>
          <w:rFonts w:ascii="Times New Roman" w:hAnsi="Times New Roman" w:cs="Times New Roman"/>
          <w:sz w:val="28"/>
          <w:szCs w:val="28"/>
        </w:rPr>
        <w:t>«На лекции Ключевского приходили не только те студенты, у которых они были в расписании, но и с других курсов и специальностей. Наиболее предприимчивые приходили заранее, даже на предыдущую лекцию другого курса, чтобы занять хорошие места. Женщинам, которым в то время в университете учиться не разрешалось, и курсистки вынуждены были переодеваться студентами и коротко стричься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D2852" w:rsidRDefault="002D2852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DA" w:rsidRDefault="003918DA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Обращая внимание на цитаты В.О. Ключевского (слайд №2 и слайд №3) учитель предлагает учащимися раскрыть смысл данных высказываний.</w:t>
      </w:r>
      <w:r w:rsidR="003222D8">
        <w:rPr>
          <w:rFonts w:ascii="Times New Roman" w:hAnsi="Times New Roman" w:cs="Times New Roman"/>
          <w:sz w:val="28"/>
          <w:szCs w:val="28"/>
        </w:rPr>
        <w:t xml:space="preserve"> В ходе диалога целесообразно выйти совместно с учащимися на следующие позиции раскрытия смысла высказываний В.О. Ключевского:</w:t>
      </w:r>
    </w:p>
    <w:p w:rsidR="006F525F" w:rsidRDefault="006F525F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0"/>
        <w:gridCol w:w="7365"/>
      </w:tblGrid>
      <w:tr w:rsidR="006F525F" w:rsidTr="00DD582D">
        <w:tc>
          <w:tcPr>
            <w:tcW w:w="9345" w:type="dxa"/>
            <w:gridSpan w:val="2"/>
          </w:tcPr>
          <w:p w:rsidR="006F525F" w:rsidRPr="003222D8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D8">
              <w:rPr>
                <w:rFonts w:ascii="Times New Roman" w:hAnsi="Times New Roman" w:cs="Times New Roman"/>
                <w:b/>
                <w:sz w:val="28"/>
                <w:szCs w:val="28"/>
              </w:rPr>
              <w:t>«Молодежь, что бабочки: летят на свет и попадают на огонь»</w:t>
            </w:r>
          </w:p>
        </w:tc>
      </w:tr>
      <w:tr w:rsidR="006F525F" w:rsidTr="006F525F">
        <w:tc>
          <w:tcPr>
            <w:tcW w:w="1980" w:type="dxa"/>
          </w:tcPr>
          <w:p w:rsidR="006F525F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 </w:t>
            </w:r>
          </w:p>
        </w:tc>
        <w:tc>
          <w:tcPr>
            <w:tcW w:w="7365" w:type="dxa"/>
          </w:tcPr>
          <w:p w:rsidR="006F525F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стремление молодежи к идеалам добра, справедливости, свободы</w:t>
            </w:r>
          </w:p>
        </w:tc>
      </w:tr>
      <w:tr w:rsidR="006F525F" w:rsidTr="006F525F">
        <w:tc>
          <w:tcPr>
            <w:tcW w:w="1980" w:type="dxa"/>
          </w:tcPr>
          <w:p w:rsidR="006F525F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</w:t>
            </w:r>
          </w:p>
        </w:tc>
        <w:tc>
          <w:tcPr>
            <w:tcW w:w="7365" w:type="dxa"/>
          </w:tcPr>
          <w:p w:rsidR="006F525F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результаты активности молодых людей в условиях их незнания форм гражданского участия в политической, экономической и социальной жизни страны, своего муниципального образования</w:t>
            </w:r>
          </w:p>
        </w:tc>
      </w:tr>
    </w:tbl>
    <w:p w:rsidR="006F525F" w:rsidRPr="003222D8" w:rsidRDefault="006F525F" w:rsidP="006F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980"/>
        <w:gridCol w:w="7365"/>
      </w:tblGrid>
      <w:tr w:rsidR="006F525F" w:rsidRPr="003222D8" w:rsidTr="00C31CE3">
        <w:tc>
          <w:tcPr>
            <w:tcW w:w="9345" w:type="dxa"/>
            <w:gridSpan w:val="2"/>
          </w:tcPr>
          <w:p w:rsidR="006F525F" w:rsidRPr="003222D8" w:rsidRDefault="006F525F" w:rsidP="006F525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2D8">
              <w:rPr>
                <w:rFonts w:ascii="Times New Roman" w:hAnsi="Times New Roman" w:cs="Times New Roman"/>
                <w:b/>
                <w:sz w:val="28"/>
                <w:szCs w:val="28"/>
              </w:rPr>
              <w:t>«История ничему не учит, а только наказывает за незнание уроков»</w:t>
            </w:r>
          </w:p>
        </w:tc>
      </w:tr>
      <w:tr w:rsidR="006F525F" w:rsidTr="006F525F">
        <w:tc>
          <w:tcPr>
            <w:tcW w:w="1980" w:type="dxa"/>
          </w:tcPr>
          <w:p w:rsidR="006F525F" w:rsidRDefault="006F525F" w:rsidP="00E62B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учит</w:t>
            </w:r>
          </w:p>
        </w:tc>
        <w:tc>
          <w:tcPr>
            <w:tcW w:w="7365" w:type="dxa"/>
          </w:tcPr>
          <w:p w:rsidR="006F525F" w:rsidRDefault="006F525F" w:rsidP="00E62B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совершает на протяжении своего развития одни и те же, похожие ошибки</w:t>
            </w:r>
          </w:p>
        </w:tc>
      </w:tr>
      <w:tr w:rsidR="006F525F" w:rsidTr="006F525F">
        <w:tc>
          <w:tcPr>
            <w:tcW w:w="1980" w:type="dxa"/>
          </w:tcPr>
          <w:p w:rsidR="006F525F" w:rsidRDefault="006F525F" w:rsidP="00E62B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наказывает</w:t>
            </w:r>
          </w:p>
        </w:tc>
        <w:tc>
          <w:tcPr>
            <w:tcW w:w="7365" w:type="dxa"/>
          </w:tcPr>
          <w:p w:rsidR="006F525F" w:rsidRDefault="006F525F" w:rsidP="00E62B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получает в результате больше негативных, чем позитивных последствий,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особенно 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поколение, которое в этих процессах принимает непосредственное участие</w:t>
            </w:r>
          </w:p>
        </w:tc>
      </w:tr>
    </w:tbl>
    <w:p w:rsidR="006F525F" w:rsidRDefault="006F525F" w:rsidP="006F52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7FD8" w:rsidRDefault="006F525F" w:rsidP="00DF5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предлагает учащимся начать осмысление своей собственной позиции по об</w:t>
      </w:r>
      <w:r w:rsidR="00DF5454">
        <w:rPr>
          <w:rFonts w:ascii="Times New Roman" w:hAnsi="Times New Roman" w:cs="Times New Roman"/>
          <w:sz w:val="28"/>
          <w:szCs w:val="28"/>
        </w:rPr>
        <w:t>означенным проблемам, опираясь на теоретическую основу курса «Обществознания», путем актуализации понятий «Государство», «Гражданское общество», «</w:t>
      </w:r>
      <w:r w:rsidR="00157FD8">
        <w:rPr>
          <w:rFonts w:ascii="Times New Roman" w:hAnsi="Times New Roman" w:cs="Times New Roman"/>
          <w:sz w:val="28"/>
          <w:szCs w:val="28"/>
        </w:rPr>
        <w:t>Правовое государство», «Гражданская позиция», «Политическое участие», «Формы участия граждан в местном самоуправлении», «Гражданская активность», «Гражданская ответственность»</w:t>
      </w:r>
      <w:r w:rsidR="006820E7">
        <w:rPr>
          <w:rFonts w:ascii="Times New Roman" w:hAnsi="Times New Roman" w:cs="Times New Roman"/>
          <w:sz w:val="28"/>
          <w:szCs w:val="28"/>
        </w:rPr>
        <w:t>,</w:t>
      </w:r>
      <w:r w:rsidR="00AC1B7C">
        <w:rPr>
          <w:rFonts w:ascii="Times New Roman" w:hAnsi="Times New Roman" w:cs="Times New Roman"/>
          <w:sz w:val="28"/>
          <w:szCs w:val="28"/>
        </w:rPr>
        <w:t xml:space="preserve"> «Реформа», «Революция».</w:t>
      </w:r>
    </w:p>
    <w:p w:rsidR="006F525F" w:rsidRDefault="00157FD8" w:rsidP="00DF5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этом учащиеся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обратиться к уже ранее изученным материалам курса «Обществознание», так и озвучить собственное понимание указанных терминов.</w:t>
      </w:r>
    </w:p>
    <w:p w:rsidR="00AC1B7C" w:rsidRDefault="00AC1B7C" w:rsidP="00DF54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вышеозначенного теоретического материала курса «Обществознание» учитель, привлекая материалы курса </w:t>
      </w:r>
      <w:r w:rsidR="006C3512">
        <w:rPr>
          <w:rFonts w:ascii="Times New Roman" w:hAnsi="Times New Roman" w:cs="Times New Roman"/>
          <w:sz w:val="28"/>
          <w:szCs w:val="28"/>
        </w:rPr>
        <w:t>«И</w:t>
      </w:r>
      <w:r>
        <w:rPr>
          <w:rFonts w:ascii="Times New Roman" w:hAnsi="Times New Roman" w:cs="Times New Roman"/>
          <w:sz w:val="28"/>
          <w:szCs w:val="28"/>
        </w:rPr>
        <w:t>стории России</w:t>
      </w:r>
      <w:r w:rsidR="006C35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Всеобщая история</w:t>
      </w:r>
      <w:r w:rsidR="006C3512">
        <w:rPr>
          <w:rFonts w:ascii="Times New Roman" w:hAnsi="Times New Roman" w:cs="Times New Roman"/>
          <w:sz w:val="28"/>
          <w:szCs w:val="28"/>
        </w:rPr>
        <w:t xml:space="preserve">» (темы: крестьянские восстания Средневековья, социальные движения </w:t>
      </w:r>
      <w:r w:rsidR="006C3512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6C3512" w:rsidRPr="006C3512">
        <w:rPr>
          <w:rFonts w:ascii="Times New Roman" w:hAnsi="Times New Roman" w:cs="Times New Roman"/>
          <w:sz w:val="28"/>
          <w:szCs w:val="28"/>
        </w:rPr>
        <w:t>-</w:t>
      </w:r>
      <w:r w:rsidR="006C3512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6C3512">
        <w:rPr>
          <w:rFonts w:ascii="Times New Roman" w:hAnsi="Times New Roman" w:cs="Times New Roman"/>
          <w:sz w:val="28"/>
          <w:szCs w:val="28"/>
        </w:rPr>
        <w:t xml:space="preserve"> веков, революции в Европе, Азии, России, реформы Петра Великого, Александра </w:t>
      </w:r>
      <w:r w:rsidR="006C351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C3512">
        <w:rPr>
          <w:rFonts w:ascii="Times New Roman" w:hAnsi="Times New Roman" w:cs="Times New Roman"/>
          <w:sz w:val="28"/>
          <w:szCs w:val="28"/>
        </w:rPr>
        <w:t>, и т.п.),</w:t>
      </w:r>
      <w:r>
        <w:rPr>
          <w:rFonts w:ascii="Times New Roman" w:hAnsi="Times New Roman" w:cs="Times New Roman"/>
          <w:sz w:val="28"/>
          <w:szCs w:val="28"/>
        </w:rPr>
        <w:t xml:space="preserve"> подводит детей к выводу о том, что наиболее эффективными являются ненасильственные </w:t>
      </w:r>
      <w:r w:rsidR="00CA1596">
        <w:rPr>
          <w:rFonts w:ascii="Times New Roman" w:hAnsi="Times New Roman" w:cs="Times New Roman"/>
          <w:sz w:val="28"/>
          <w:szCs w:val="28"/>
        </w:rPr>
        <w:t>формы политического участия</w:t>
      </w:r>
      <w:r>
        <w:rPr>
          <w:rFonts w:ascii="Times New Roman" w:hAnsi="Times New Roman" w:cs="Times New Roman"/>
          <w:sz w:val="28"/>
          <w:szCs w:val="28"/>
        </w:rPr>
        <w:t xml:space="preserve">, а такие методы как революция, </w:t>
      </w:r>
      <w:r w:rsidR="00CA1596">
        <w:rPr>
          <w:rFonts w:ascii="Times New Roman" w:hAnsi="Times New Roman" w:cs="Times New Roman"/>
          <w:sz w:val="28"/>
          <w:szCs w:val="28"/>
        </w:rPr>
        <w:t xml:space="preserve">мятеж, бунт зачастую приводят к </w:t>
      </w:r>
      <w:r w:rsidR="006C3512">
        <w:rPr>
          <w:rFonts w:ascii="Times New Roman" w:hAnsi="Times New Roman" w:cs="Times New Roman"/>
          <w:sz w:val="28"/>
          <w:szCs w:val="28"/>
        </w:rPr>
        <w:t xml:space="preserve">непредсказуемым </w:t>
      </w:r>
      <w:r w:rsidR="00CA1596">
        <w:rPr>
          <w:rFonts w:ascii="Times New Roman" w:hAnsi="Times New Roman" w:cs="Times New Roman"/>
          <w:sz w:val="28"/>
          <w:szCs w:val="28"/>
        </w:rPr>
        <w:t>негативным последствиям как для участников, так и для общества в целом.</w:t>
      </w:r>
      <w:proofErr w:type="gramEnd"/>
    </w:p>
    <w:p w:rsidR="00157FD8" w:rsidRDefault="006C3512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акцентирует внимание, что все эти проявления являются результатом запроса широких слоев общества на перемены и обновления. </w:t>
      </w:r>
      <w:r w:rsidR="007D073E">
        <w:rPr>
          <w:rFonts w:ascii="Times New Roman" w:hAnsi="Times New Roman" w:cs="Times New Roman"/>
          <w:sz w:val="28"/>
          <w:szCs w:val="28"/>
        </w:rPr>
        <w:t>Далее учитель предлагае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D073E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сформулировать свое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виденение</w:t>
      </w:r>
      <w:r w:rsidR="007D073E">
        <w:rPr>
          <w:rFonts w:ascii="Times New Roman" w:hAnsi="Times New Roman" w:cs="Times New Roman"/>
          <w:sz w:val="28"/>
          <w:szCs w:val="28"/>
        </w:rPr>
        <w:t>желаемых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изменений, либо озвучить точку зрения, которой </w:t>
      </w:r>
      <w:r w:rsidR="007D073E">
        <w:rPr>
          <w:rFonts w:ascii="Times New Roman" w:hAnsi="Times New Roman" w:cs="Times New Roman"/>
          <w:sz w:val="28"/>
          <w:szCs w:val="28"/>
        </w:rPr>
        <w:t>придерживаются</w:t>
      </w:r>
      <w:r>
        <w:rPr>
          <w:rFonts w:ascii="Times New Roman" w:hAnsi="Times New Roman" w:cs="Times New Roman"/>
          <w:sz w:val="28"/>
          <w:szCs w:val="28"/>
        </w:rPr>
        <w:t xml:space="preserve"> родители.</w:t>
      </w:r>
    </w:p>
    <w:p w:rsidR="007D073E" w:rsidRDefault="007D073E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3512" w:rsidRDefault="006C3512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Обобщив основные направления ожидаемых изменений</w:t>
      </w:r>
      <w:r w:rsidR="007D07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учитель ставитп</w:t>
      </w:r>
      <w:r w:rsidR="007D073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ред у</w:t>
      </w:r>
      <w:r w:rsidR="007D073E">
        <w:rPr>
          <w:rFonts w:ascii="Times New Roman" w:hAnsi="Times New Roman" w:cs="Times New Roman"/>
          <w:sz w:val="28"/>
          <w:szCs w:val="28"/>
        </w:rPr>
        <w:t>чащимися проблему их достижения.</w:t>
      </w:r>
    </w:p>
    <w:p w:rsidR="007D073E" w:rsidRDefault="007D073E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подавляющем большинстве случаев учащиеся испытывают затруднения в определении и описании конкретных путей решения интересующих их проблем.</w:t>
      </w:r>
    </w:p>
    <w:p w:rsidR="007D073E" w:rsidRDefault="007D073E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Констатируя затруднения учащихся, учитель предлагает </w:t>
      </w:r>
      <w:r w:rsidR="006820E7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раздаточный материал</w:t>
      </w:r>
      <w:r w:rsidR="00AD7545">
        <w:rPr>
          <w:rFonts w:ascii="Times New Roman" w:hAnsi="Times New Roman" w:cs="Times New Roman"/>
          <w:sz w:val="28"/>
          <w:szCs w:val="28"/>
        </w:rPr>
        <w:t xml:space="preserve"> (п</w:t>
      </w:r>
      <w:r w:rsidR="00CC6781">
        <w:rPr>
          <w:rFonts w:ascii="Times New Roman" w:hAnsi="Times New Roman" w:cs="Times New Roman"/>
          <w:sz w:val="28"/>
          <w:szCs w:val="28"/>
        </w:rPr>
        <w:t>риложение</w:t>
      </w:r>
      <w:r w:rsidR="00AD7545">
        <w:rPr>
          <w:rFonts w:ascii="Times New Roman" w:hAnsi="Times New Roman" w:cs="Times New Roman"/>
          <w:sz w:val="28"/>
          <w:szCs w:val="28"/>
        </w:rPr>
        <w:t xml:space="preserve"> 1)</w:t>
      </w:r>
    </w:p>
    <w:p w:rsidR="00CC6781" w:rsidRDefault="00CC6781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918DA" w:rsidRDefault="00994A0C" w:rsidP="00862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ознакомления учащихся с раздаточным материалом, учитель с помощью опроса выясняет: </w:t>
      </w:r>
    </w:p>
    <w:p w:rsidR="00994A0C" w:rsidRDefault="00994A0C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512">
        <w:rPr>
          <w:rFonts w:ascii="Times New Roman" w:hAnsi="Times New Roman" w:cs="Times New Roman"/>
          <w:sz w:val="28"/>
          <w:szCs w:val="28"/>
        </w:rPr>
        <w:t xml:space="preserve">Какие из </w:t>
      </w:r>
      <w:proofErr w:type="gramStart"/>
      <w:r w:rsidR="006C3512">
        <w:rPr>
          <w:rFonts w:ascii="Times New Roman" w:hAnsi="Times New Roman" w:cs="Times New Roman"/>
          <w:sz w:val="28"/>
          <w:szCs w:val="28"/>
        </w:rPr>
        <w:t>форм, представленных в памятке наиболее часто и эффективно используются</w:t>
      </w:r>
      <w:proofErr w:type="gramEnd"/>
      <w:r w:rsidR="006C3512">
        <w:rPr>
          <w:rFonts w:ascii="Times New Roman" w:hAnsi="Times New Roman" w:cs="Times New Roman"/>
          <w:sz w:val="28"/>
          <w:szCs w:val="28"/>
        </w:rPr>
        <w:t xml:space="preserve"> в вашем муниципальном образовании? </w:t>
      </w:r>
    </w:p>
    <w:p w:rsidR="00994A0C" w:rsidRDefault="00994A0C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3512">
        <w:rPr>
          <w:rFonts w:ascii="Times New Roman" w:hAnsi="Times New Roman" w:cs="Times New Roman"/>
          <w:sz w:val="28"/>
          <w:szCs w:val="28"/>
        </w:rPr>
        <w:t xml:space="preserve">К каким результатам они приводят? </w:t>
      </w:r>
    </w:p>
    <w:p w:rsidR="00157FD8" w:rsidRDefault="00994A0C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6C3512">
        <w:rPr>
          <w:rFonts w:ascii="Times New Roman" w:hAnsi="Times New Roman" w:cs="Times New Roman"/>
          <w:sz w:val="28"/>
          <w:szCs w:val="28"/>
        </w:rPr>
        <w:t xml:space="preserve">Участвовали ли ваши родители в </w:t>
      </w:r>
      <w:proofErr w:type="gramStart"/>
      <w:r w:rsidR="006C3512">
        <w:rPr>
          <w:rFonts w:ascii="Times New Roman" w:hAnsi="Times New Roman" w:cs="Times New Roman"/>
          <w:sz w:val="28"/>
          <w:szCs w:val="28"/>
        </w:rPr>
        <w:t>какой-либо</w:t>
      </w:r>
      <w:proofErr w:type="gramEnd"/>
      <w:r w:rsidR="006C3512">
        <w:rPr>
          <w:rFonts w:ascii="Times New Roman" w:hAnsi="Times New Roman" w:cs="Times New Roman"/>
          <w:sz w:val="28"/>
          <w:szCs w:val="28"/>
        </w:rPr>
        <w:t xml:space="preserve"> из указанных форм?</w:t>
      </w:r>
    </w:p>
    <w:p w:rsidR="00994A0C" w:rsidRDefault="00994A0C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94A0C" w:rsidRDefault="00994A0C" w:rsidP="00991D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у учащихся указанной информации, учитель должен сам привести примеры позитивной гражданской инициативы и гражданской активности в рамках </w:t>
      </w:r>
      <w:r w:rsidR="00991D2E">
        <w:rPr>
          <w:rFonts w:ascii="Times New Roman" w:hAnsi="Times New Roman" w:cs="Times New Roman"/>
          <w:sz w:val="28"/>
          <w:szCs w:val="28"/>
        </w:rPr>
        <w:t>действующего</w:t>
      </w:r>
      <w:r>
        <w:rPr>
          <w:rFonts w:ascii="Times New Roman" w:hAnsi="Times New Roman" w:cs="Times New Roman"/>
          <w:sz w:val="28"/>
          <w:szCs w:val="28"/>
        </w:rPr>
        <w:t xml:space="preserve"> правового поля. </w:t>
      </w:r>
    </w:p>
    <w:p w:rsidR="006C3512" w:rsidRDefault="00991D2E" w:rsidP="00991D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Одновременноучитель</w:t>
      </w:r>
      <w:r w:rsidR="00994A0C">
        <w:rPr>
          <w:rFonts w:ascii="Times New Roman" w:hAnsi="Times New Roman" w:cs="Times New Roman"/>
          <w:sz w:val="28"/>
          <w:szCs w:val="28"/>
        </w:rPr>
        <w:t xml:space="preserve"> обращает внимание учащихся</w:t>
      </w:r>
      <w:r>
        <w:rPr>
          <w:rFonts w:ascii="Times New Roman" w:hAnsi="Times New Roman" w:cs="Times New Roman"/>
          <w:sz w:val="28"/>
          <w:szCs w:val="28"/>
        </w:rPr>
        <w:t>, ч</w:t>
      </w:r>
      <w:r w:rsidR="00994A0C"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>история</w:t>
      </w:r>
      <w:r w:rsidR="00994A0C">
        <w:rPr>
          <w:rFonts w:ascii="Times New Roman" w:hAnsi="Times New Roman" w:cs="Times New Roman"/>
          <w:sz w:val="28"/>
          <w:szCs w:val="28"/>
        </w:rPr>
        <w:t xml:space="preserve"> нас учит тому, что во все времена существовали радикально настроенные слои общества, претендующие на </w:t>
      </w:r>
      <w:r>
        <w:rPr>
          <w:rFonts w:ascii="Times New Roman" w:hAnsi="Times New Roman" w:cs="Times New Roman"/>
          <w:sz w:val="28"/>
          <w:szCs w:val="28"/>
        </w:rPr>
        <w:t>исключительные</w:t>
      </w:r>
      <w:r w:rsidR="00994A0C">
        <w:rPr>
          <w:rFonts w:ascii="Times New Roman" w:hAnsi="Times New Roman" w:cs="Times New Roman"/>
          <w:sz w:val="28"/>
          <w:szCs w:val="28"/>
        </w:rPr>
        <w:t xml:space="preserve"> знания о путях и направлениях развития страны и государства</w:t>
      </w:r>
      <w:proofErr w:type="gramStart"/>
      <w:r w:rsidR="00994A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94A0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реди этих сил часто встречаются и приверженцы идеологии, обладающей явными признаками экстремизма.</w:t>
      </w:r>
    </w:p>
    <w:p w:rsidR="00991D2E" w:rsidRDefault="00991D2E" w:rsidP="00991D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необходимости учитель актуализирует знания о теме «Терроризм и экстремизм – угроза обществу».</w:t>
      </w:r>
    </w:p>
    <w:p w:rsidR="00991D2E" w:rsidRDefault="00991D2E" w:rsidP="00991D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Обращаясь к задачам, стоящим перед государством в части гарантии защиты прав и свобод граждан, учитель на исторических примерах («Контрреформы Александра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») </w:t>
      </w:r>
      <w:r w:rsidR="00CC6781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 демонстрирует роль государства в сохранении правопорядка.</w:t>
      </w:r>
    </w:p>
    <w:p w:rsidR="00991D2E" w:rsidRDefault="00991D2E" w:rsidP="00991D2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Обращаясь к современной ситуации учащимся предлагается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привести примеры действий правоохранительных органов по защите жизни, здоровья, безопасности граждан. Обобщая ответы учащихся, учитель приводит правовое обоснование деятельности правоохранительных органов государства</w:t>
      </w:r>
      <w:r w:rsidR="00CC6781">
        <w:rPr>
          <w:rFonts w:ascii="Times New Roman" w:hAnsi="Times New Roman" w:cs="Times New Roman"/>
          <w:sz w:val="28"/>
          <w:szCs w:val="28"/>
        </w:rPr>
        <w:t xml:space="preserve"> с опорой на действующее законодательство (раздаточный материал для учащихся: приложение 2)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A0C" w:rsidRDefault="00592888" w:rsidP="00592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внимание учащихся обращается на правовое регулирование жизни и деятельности несовершеннолетних.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994A0C" w:rsidRPr="005576E2">
        <w:rPr>
          <w:rFonts w:ascii="Times New Roman" w:hAnsi="Times New Roman" w:cs="Times New Roman"/>
          <w:sz w:val="28"/>
          <w:szCs w:val="28"/>
        </w:rPr>
        <w:t>Статья 2.3.</w:t>
      </w:r>
      <w:proofErr w:type="gramEnd"/>
      <w:r w:rsidR="00994A0C" w:rsidRPr="005576E2">
        <w:rPr>
          <w:rFonts w:ascii="Times New Roman" w:hAnsi="Times New Roman" w:cs="Times New Roman"/>
          <w:sz w:val="28"/>
          <w:szCs w:val="28"/>
        </w:rPr>
        <w:t xml:space="preserve"> Возраст, по достижении которого наступает административная ответственность </w:t>
      </w:r>
      <w:r w:rsidR="00994A0C">
        <w:rPr>
          <w:rFonts w:ascii="Times New Roman" w:hAnsi="Times New Roman" w:cs="Times New Roman"/>
          <w:sz w:val="28"/>
          <w:szCs w:val="28"/>
        </w:rPr>
        <w:t xml:space="preserve">(КоАП </w:t>
      </w:r>
      <w:r w:rsidR="00994A0C" w:rsidRPr="007029DB">
        <w:rPr>
          <w:rFonts w:ascii="Times New Roman" w:hAnsi="Times New Roman" w:cs="Times New Roman"/>
          <w:sz w:val="28"/>
          <w:szCs w:val="28"/>
        </w:rPr>
        <w:t xml:space="preserve">от 30 декабря 2001 г. </w:t>
      </w:r>
      <w:r w:rsidR="00994A0C">
        <w:rPr>
          <w:rFonts w:ascii="Times New Roman" w:hAnsi="Times New Roman" w:cs="Times New Roman"/>
          <w:sz w:val="28"/>
          <w:szCs w:val="28"/>
        </w:rPr>
        <w:t>№</w:t>
      </w:r>
      <w:r w:rsidR="00994A0C" w:rsidRPr="007029DB">
        <w:rPr>
          <w:rFonts w:ascii="Times New Roman" w:hAnsi="Times New Roman" w:cs="Times New Roman"/>
          <w:sz w:val="28"/>
          <w:szCs w:val="28"/>
        </w:rPr>
        <w:t xml:space="preserve"> 195-ФЗ</w:t>
      </w:r>
      <w:r w:rsidR="00994A0C">
        <w:rPr>
          <w:rFonts w:ascii="Times New Roman" w:hAnsi="Times New Roman" w:cs="Times New Roman"/>
          <w:sz w:val="28"/>
          <w:szCs w:val="28"/>
        </w:rPr>
        <w:t>)</w:t>
      </w:r>
    </w:p>
    <w:p w:rsidR="00592888" w:rsidRDefault="00592888" w:rsidP="00994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592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раздаточного материала для учащихся (приложение 3) рассматриваются вопросы ответственности несовершеннолетних граждан и их родителей за противоправные действия, в сфере выражения своей гражданской позиции.</w:t>
      </w:r>
    </w:p>
    <w:p w:rsidR="00592888" w:rsidRDefault="00592888" w:rsidP="005928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заключительном этапе урока учащимся приводится истерические примеры проявления гражданской активности и гражданской инициативы правомерного и неправомерного характера и их последствия.</w:t>
      </w:r>
    </w:p>
    <w:p w:rsidR="00592888" w:rsidRDefault="00592888" w:rsidP="00994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994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994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92888" w:rsidRDefault="00592888" w:rsidP="00994A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3512" w:rsidRDefault="006C3512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CE0DB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shd w:val="clear" w:color="auto" w:fill="FFFFFF"/>
        <w:spacing w:after="144" w:line="39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6820E7" w:rsidRDefault="006820E7" w:rsidP="006820E7">
      <w:pPr>
        <w:shd w:val="clear" w:color="auto" w:fill="FFFFFF"/>
        <w:spacing w:after="144" w:line="39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6820E7" w:rsidRDefault="006820E7" w:rsidP="006820E7">
      <w:pPr>
        <w:shd w:val="clear" w:color="auto" w:fill="FFFFFF"/>
        <w:spacing w:after="144" w:line="39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</w:p>
    <w:p w:rsidR="006820E7" w:rsidRPr="00257276" w:rsidRDefault="006820E7" w:rsidP="006820E7">
      <w:pPr>
        <w:shd w:val="clear" w:color="auto" w:fill="FFFFFF"/>
        <w:spacing w:after="144" w:line="394" w:lineRule="atLeast"/>
        <w:jc w:val="right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</w:pPr>
      <w:r w:rsidRPr="00257276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lastRenderedPageBreak/>
        <w:t>Приложение 1</w:t>
      </w:r>
    </w:p>
    <w:p w:rsidR="006820E7" w:rsidRPr="00BA05AE" w:rsidRDefault="006820E7" w:rsidP="006820E7">
      <w:pPr>
        <w:shd w:val="clear" w:color="auto" w:fill="FFFFFF"/>
        <w:spacing w:after="144" w:line="39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</w:pPr>
      <w:r w:rsidRPr="00BA05AE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ru-RU"/>
        </w:rPr>
        <w:t>ФОРМЫ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5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Местный референдум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Муниципальные выборы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муниципального образования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8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Сход граждан, осуществляющий полномочия представительного органа муниципального образования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9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Сход граждан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0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Правотворческая инициатива граждан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1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Инициативные проекты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2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Территориальное общественное самоуправление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3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Староста сельского населенного пункта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4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Публичные слушания, общественные обсуждения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5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Собрание граждан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6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Конференция граждан (собрание делегатов)</w:t>
        </w:r>
      </w:hyperlink>
    </w:p>
    <w:p w:rsidR="006820E7" w:rsidRPr="00BB7E41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7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Опрос граждан</w:t>
        </w:r>
      </w:hyperlink>
    </w:p>
    <w:p w:rsidR="006820E7" w:rsidRPr="00BA05AE" w:rsidRDefault="00666947" w:rsidP="006820E7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18" w:history="1">
        <w:r w:rsidR="006820E7" w:rsidRPr="00BB7E41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Обращения граждан в органы местного самоуправления</w:t>
        </w:r>
      </w:hyperlink>
    </w:p>
    <w:p w:rsidR="006820E7" w:rsidRPr="00BA05AE" w:rsidRDefault="006820E7" w:rsidP="006820E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</w:p>
    <w:p w:rsidR="006820E7" w:rsidRPr="004D76AB" w:rsidRDefault="006820E7" w:rsidP="006820E7">
      <w:pPr>
        <w:pStyle w:val="a3"/>
        <w:jc w:val="right"/>
        <w:rPr>
          <w:rFonts w:ascii="Times New Roman" w:hAnsi="Times New Roman" w:cs="Times New Roman"/>
          <w:sz w:val="24"/>
          <w:szCs w:val="28"/>
        </w:rPr>
      </w:pPr>
      <w:r w:rsidRPr="004D76AB">
        <w:rPr>
          <w:rFonts w:ascii="Times New Roman" w:hAnsi="Times New Roman" w:cs="Times New Roman"/>
          <w:sz w:val="24"/>
          <w:szCs w:val="28"/>
        </w:rPr>
        <w:lastRenderedPageBreak/>
        <w:t>Приложение 2</w:t>
      </w:r>
    </w:p>
    <w:p w:rsidR="006820E7" w:rsidRDefault="006820E7" w:rsidP="0068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681"/>
        <w:gridCol w:w="5664"/>
      </w:tblGrid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820E7" w:rsidRPr="00751AB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http://www.consultant.ru/document/cons_doc_LAW_28399/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ED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 Федерации (с изменениями, одобренными в ходе общероссийского голосования 01.07.2020)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820E7" w:rsidRPr="00CE0DBF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http://www.consultant.ru/document/cons_doc_LAW_48103/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0ED">
              <w:rPr>
                <w:rFonts w:ascii="Times New Roman" w:hAnsi="Times New Roman" w:cs="Times New Roman"/>
                <w:sz w:val="24"/>
                <w:szCs w:val="24"/>
              </w:rPr>
              <w:t>Федеральный закон «О собраниях, митингах, демонстрациях, шествиях и пикетировании»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http://www.consultant.ru/document/cons_doc_LAW_44571/b4b9946f11d8e4758077c93f210340ab91e26b0c/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от 06.10.2003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5576E2">
              <w:rPr>
                <w:rFonts w:ascii="Times New Roman" w:hAnsi="Times New Roman" w:cs="Times New Roman"/>
                <w:sz w:val="24"/>
                <w:szCs w:val="24"/>
              </w:rPr>
              <w:t xml:space="preserve"> 131-ФЗ (ред. от 29.12.2020) "Об общих принципах организации местного самоуправления в Российской Федерации"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http://www.consultant.ru/document/cons_doc_LAW_34661/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2">
              <w:rPr>
                <w:rFonts w:ascii="Times New Roman" w:hAnsi="Times New Roman" w:cs="Times New Roman"/>
                <w:sz w:val="24"/>
                <w:szCs w:val="24"/>
              </w:rPr>
              <w:t>"Кодекс Российской Федерации об административных правонарушениях" от 30.12.2001 N 195-ФЗ (ред. от 30.12.2020) (с изм. и доп., вступ. в силу с 15.01.2021)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http://www.kremlin.ru/acts/bank/18939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754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"О противодействии экстремистской деятельности" от 25.07.2002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D7545">
              <w:rPr>
                <w:rFonts w:ascii="Times New Roman" w:hAnsi="Times New Roman" w:cs="Times New Roman"/>
                <w:sz w:val="24"/>
                <w:szCs w:val="24"/>
              </w:rPr>
              <w:t xml:space="preserve"> 114-ФЗ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ред. </w:t>
            </w:r>
            <w:r w:rsidRPr="00AD7545">
              <w:rPr>
                <w:rFonts w:ascii="Times New Roman" w:hAnsi="Times New Roman" w:cs="Times New Roman"/>
                <w:sz w:val="24"/>
                <w:szCs w:val="24"/>
              </w:rPr>
              <w:t>от 08.12.2020)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http://www.consultant.ru/document/cons_doc_LAW_200506/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781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03.07.2016 N 226-ФЗ (ред. от 31.07.2020) "О войсках национальной гвардии Российской Федерации"</w:t>
            </w:r>
            <w:r>
              <w:t xml:space="preserve"> 9в ред. </w:t>
            </w:r>
            <w:r w:rsidRPr="00CC6781">
              <w:rPr>
                <w:rFonts w:ascii="Times New Roman" w:hAnsi="Times New Roman" w:cs="Times New Roman"/>
                <w:sz w:val="24"/>
                <w:szCs w:val="24"/>
              </w:rPr>
              <w:t>от 31.07.2020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http://www.consultant.ru/document/cons_doc_LAW_110165/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6781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ьный закон «</w:t>
            </w:r>
            <w:r w:rsidRPr="00CC6781">
              <w:rPr>
                <w:rFonts w:ascii="Times New Roman" w:hAnsi="Times New Roman" w:cs="Times New Roman"/>
                <w:sz w:val="24"/>
                <w:szCs w:val="24"/>
              </w:rPr>
              <w:t>О полиции" от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  <w:r w:rsidRPr="00CC6781">
              <w:rPr>
                <w:rFonts w:ascii="Times New Roman" w:hAnsi="Times New Roman" w:cs="Times New Roman"/>
                <w:sz w:val="24"/>
                <w:szCs w:val="24"/>
              </w:rPr>
              <w:t xml:space="preserve">2011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CC6781">
              <w:rPr>
                <w:rFonts w:ascii="Times New Roman" w:hAnsi="Times New Roman" w:cs="Times New Roman"/>
                <w:sz w:val="24"/>
                <w:szCs w:val="24"/>
              </w:rPr>
              <w:t>3-ФЗ (в редакции от 06.02.2020)</w:t>
            </w:r>
          </w:p>
        </w:tc>
      </w:tr>
      <w:tr w:rsidR="006820E7" w:rsidTr="00E62B50">
        <w:tc>
          <w:tcPr>
            <w:tcW w:w="3681" w:type="dxa"/>
          </w:tcPr>
          <w:p w:rsidR="006820E7" w:rsidRPr="00CE0DBF" w:rsidRDefault="00666947" w:rsidP="00E62B5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6820E7" w:rsidRPr="00834E15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http://www.consultant.ru/document/cons_doc_LAW_10699/</w:t>
              </w:r>
            </w:hyperlink>
          </w:p>
        </w:tc>
        <w:tc>
          <w:tcPr>
            <w:tcW w:w="5664" w:type="dxa"/>
          </w:tcPr>
          <w:p w:rsidR="006820E7" w:rsidRPr="00A600ED" w:rsidRDefault="006820E7" w:rsidP="00E62B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92888">
              <w:rPr>
                <w:rFonts w:ascii="Times New Roman" w:hAnsi="Times New Roman" w:cs="Times New Roman"/>
                <w:sz w:val="24"/>
                <w:szCs w:val="24"/>
              </w:rPr>
              <w:t>Уголов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кодекс Российской Федерации»</w:t>
            </w:r>
            <w:r w:rsidRPr="00592888">
              <w:rPr>
                <w:rFonts w:ascii="Times New Roman" w:hAnsi="Times New Roman" w:cs="Times New Roman"/>
                <w:sz w:val="24"/>
                <w:szCs w:val="24"/>
              </w:rPr>
              <w:t xml:space="preserve"> от 13.06.1996 N 63-ФЗ (ред. от 30.12.2020)</w:t>
            </w:r>
          </w:p>
        </w:tc>
      </w:tr>
    </w:tbl>
    <w:p w:rsidR="006820E7" w:rsidRPr="00CE0DBF" w:rsidRDefault="006820E7" w:rsidP="0068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Default="006820E7" w:rsidP="006820E7">
      <w:pPr>
        <w:jc w:val="right"/>
        <w:rPr>
          <w:rFonts w:ascii="Times New Roman" w:hAnsi="Times New Roman" w:cs="Times New Roman"/>
          <w:sz w:val="24"/>
        </w:rPr>
      </w:pPr>
    </w:p>
    <w:p w:rsidR="006820E7" w:rsidRPr="004D76AB" w:rsidRDefault="006820E7" w:rsidP="006820E7">
      <w:pPr>
        <w:jc w:val="right"/>
        <w:rPr>
          <w:rFonts w:ascii="Times New Roman" w:hAnsi="Times New Roman" w:cs="Times New Roman"/>
          <w:sz w:val="24"/>
        </w:rPr>
      </w:pPr>
      <w:r w:rsidRPr="004D76AB">
        <w:rPr>
          <w:rFonts w:ascii="Times New Roman" w:hAnsi="Times New Roman" w:cs="Times New Roman"/>
          <w:sz w:val="24"/>
        </w:rPr>
        <w:lastRenderedPageBreak/>
        <w:t>Приложение 3</w:t>
      </w:r>
    </w:p>
    <w:tbl>
      <w:tblPr>
        <w:tblW w:w="10774" w:type="dxa"/>
        <w:tblCellSpacing w:w="15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29"/>
        <w:gridCol w:w="3969"/>
        <w:gridCol w:w="1276"/>
      </w:tblGrid>
      <w:tr w:rsidR="006820E7" w:rsidRPr="00520A15" w:rsidTr="00E62B50">
        <w:trPr>
          <w:tblCellSpacing w:w="15" w:type="dxa"/>
        </w:trPr>
        <w:tc>
          <w:tcPr>
            <w:tcW w:w="10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b/>
                <w:bCs/>
                <w:color w:val="515151"/>
                <w:sz w:val="20"/>
                <w:szCs w:val="20"/>
                <w:lang w:eastAsia="ru-RU"/>
              </w:rPr>
              <w:t>Ответственность организаторов за несанкционированные мероприятия</w:t>
            </w:r>
          </w:p>
        </w:tc>
      </w:tr>
      <w:tr w:rsidR="006820E7" w:rsidRPr="00BA05AE" w:rsidTr="00E62B50">
        <w:trPr>
          <w:trHeight w:val="189"/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Правонарушение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Наказание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Статья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Нарушение организатором установленного порядка организации или проведения митинга.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Для граждан предусмотрен штраф в размере от 10 000 до 25 000 руб. или обязательные работы на срок до 40 часов.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1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Организация или проведение митинга без подачи уведомления о проведении мероприятия.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Гражданам грозит: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Штраф в размере от 20 000 до 30 000 руб.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Обязательные работы в течение 50 часов.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Административный арест на 10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1. Создание помех объектам жизнеобеспечения, транспортной или социальной инфраструктуры, связи, движению пешеходов или ТС.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2. Создание помех доступу граждан к их домам или объектам </w:t>
            </w:r>
            <w:proofErr w:type="gramStart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транспортной</w:t>
            </w:r>
            <w:proofErr w:type="gramEnd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социнфраструктуры</w:t>
            </w:r>
            <w:proofErr w:type="spellEnd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</w:p>
          <w:p w:rsidR="006820E7" w:rsidRPr="00520A15" w:rsidRDefault="006820E7" w:rsidP="00E62B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3. Превышение норм </w:t>
            </w:r>
            <w:proofErr w:type="gramStart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предельной</w:t>
            </w:r>
            <w:proofErr w:type="gramEnd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заполняемости территорий.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Граждане будут обязаны: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Выплатить штраф — 30 000 — 50 000 руб.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Выполнить обязательные работы на срок до 100 часов.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Отбыть наказание в виде ареста на 15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3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Действия организаторов, повлекшие причинение вреда здоровью граждан или имуществу, но не содержащие уголовно наказуемого деяния.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Граждане должны будут:</w:t>
            </w:r>
          </w:p>
          <w:p w:rsidR="006820E7" w:rsidRPr="00BA05AE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Выплатить штраф — от 100 000 до 300 000 руб.- Выполнить обязател</w:t>
            </w:r>
            <w:r w:rsidRPr="00BA05AE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ьные работы в течение 200 часов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Отбыть наказание в виде ареста на 20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4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Организация или проведение несанкционированного митинга в непосредственной близости от территории ядерной установки, радиационного источника или пункта хранения ядерных материалов и радиоактивных веществ.</w:t>
            </w:r>
          </w:p>
          <w:p w:rsidR="006820E7" w:rsidRPr="00520A15" w:rsidRDefault="006820E7" w:rsidP="00E62B50">
            <w:pPr>
              <w:spacing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Активное участие в таких митингах, если это осложнило выполнение работниками указанных установки, источника или пункта своих служебных обязанностей или создало угрозу безопасности населения и окружающей среды.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Гражданам придется:</w:t>
            </w:r>
          </w:p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Выплачивать штраф в размере от 150 000 до 300 000 руб.</w:t>
            </w:r>
          </w:p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Отбывать наказание в виде ареста на 15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7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Повторное совершение административного правонарушения, предусмотренного частями 1-6.1 ст.20.2 КоАП РФ.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Грозит гражданам:</w:t>
            </w:r>
          </w:p>
          <w:p w:rsidR="006820E7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Выплатой штрафа в размере от 150 000 до 300 000 руб.</w:t>
            </w:r>
          </w:p>
          <w:p w:rsidR="006820E7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Выполнением обязательных работ в течение 200 часов.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Отбыванием наказания в виде ареста на 30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8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107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0E7" w:rsidRPr="00BA05AE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0"/>
                <w:szCs w:val="20"/>
                <w:lang w:eastAsia="ru-RU"/>
              </w:rPr>
            </w:pPr>
            <w:r w:rsidRPr="00BA05AE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Ответственность участников</w:t>
            </w:r>
            <w:r w:rsidRPr="00520A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незаконных митингов, акций, демонстраций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Правонарушение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Санкция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jc w:val="center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BA05A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00"/>
                <w:sz w:val="20"/>
                <w:szCs w:val="20"/>
                <w:lang w:eastAsia="ru-RU"/>
              </w:rPr>
              <w:t>Основание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Нарушение участником установленного порядка проведения мероприятия.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Штраф в размере от 10 000 до 20 000 руб.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Обязательные работы на срок до 40 часов.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5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Действия или бездействие участников, которые повлекли причинение вреда здоровью человека или имущества, но не несут подтекста уголовно наказуемого деяния.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Штраф в размере от 150 000 до 300 000 руб.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Обязательные работы на срок до 200 часов.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Административный арест на 15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6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20.2 КоАП РФ</w:t>
            </w:r>
          </w:p>
        </w:tc>
      </w:tr>
      <w:tr w:rsidR="006820E7" w:rsidRPr="00BA05AE" w:rsidTr="00E62B50">
        <w:trPr>
          <w:tblCellSpacing w:w="15" w:type="dxa"/>
        </w:trPr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Участие в несанкционированных собраниях, митингах, демонстрациях, шествиях, пикетах, повлекших создание помех функционированию объектов жизнеобеспечения, транспортной или социальной инфраструктуры, связи, движению пешеходов или ТС, либо доступу граждан к жилым помещениям или объектам транспортной, </w:t>
            </w:r>
            <w:proofErr w:type="spellStart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социнфраструктуры</w:t>
            </w:r>
            <w:proofErr w:type="spellEnd"/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after="0" w:line="240" w:lineRule="auto"/>
              <w:ind w:firstLine="225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Гражданам грозит: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Штраф от 10 000 до 20 000 руб.</w:t>
            </w:r>
          </w:p>
          <w:p w:rsidR="006820E7" w:rsidRPr="00520A15" w:rsidRDefault="006820E7" w:rsidP="00E62B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- Обязательные работы на срок до 100 часов.- Административный арест на 15 суток.</w:t>
            </w:r>
          </w:p>
        </w:tc>
        <w:tc>
          <w:tcPr>
            <w:tcW w:w="12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0E7" w:rsidRPr="00520A15" w:rsidRDefault="006820E7" w:rsidP="00E62B5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</w:pP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6.1 ст</w:t>
            </w:r>
            <w:r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>.</w:t>
            </w:r>
            <w:r w:rsidRPr="00520A15">
              <w:rPr>
                <w:rFonts w:ascii="Times New Roman" w:eastAsia="Times New Roman" w:hAnsi="Times New Roman" w:cs="Times New Roman"/>
                <w:color w:val="515151"/>
                <w:sz w:val="20"/>
                <w:szCs w:val="20"/>
                <w:lang w:eastAsia="ru-RU"/>
              </w:rPr>
              <w:t xml:space="preserve"> 20.2 КоАП РФ</w:t>
            </w:r>
          </w:p>
        </w:tc>
      </w:tr>
    </w:tbl>
    <w:p w:rsidR="006820E7" w:rsidRDefault="006820E7" w:rsidP="006820E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820E7" w:rsidSect="006820E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86C00"/>
    <w:multiLevelType w:val="multilevel"/>
    <w:tmpl w:val="08B0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6D545E"/>
    <w:multiLevelType w:val="multilevel"/>
    <w:tmpl w:val="BAC6A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2CE"/>
    <w:rsid w:val="00157FD8"/>
    <w:rsid w:val="00285465"/>
    <w:rsid w:val="002D2852"/>
    <w:rsid w:val="003222D8"/>
    <w:rsid w:val="003918DA"/>
    <w:rsid w:val="003E7BFC"/>
    <w:rsid w:val="00410B5D"/>
    <w:rsid w:val="004A7653"/>
    <w:rsid w:val="00520A15"/>
    <w:rsid w:val="005576E2"/>
    <w:rsid w:val="00592888"/>
    <w:rsid w:val="005C3EB2"/>
    <w:rsid w:val="00666947"/>
    <w:rsid w:val="006820E7"/>
    <w:rsid w:val="006C3512"/>
    <w:rsid w:val="006F525F"/>
    <w:rsid w:val="007029DB"/>
    <w:rsid w:val="007315F6"/>
    <w:rsid w:val="007D073E"/>
    <w:rsid w:val="00862AE0"/>
    <w:rsid w:val="00991D2E"/>
    <w:rsid w:val="00994A0C"/>
    <w:rsid w:val="009D5953"/>
    <w:rsid w:val="00A600ED"/>
    <w:rsid w:val="00A86E31"/>
    <w:rsid w:val="00AC1B7C"/>
    <w:rsid w:val="00AD7545"/>
    <w:rsid w:val="00C932CE"/>
    <w:rsid w:val="00CA1596"/>
    <w:rsid w:val="00CC6781"/>
    <w:rsid w:val="00CE0DBF"/>
    <w:rsid w:val="00D9673C"/>
    <w:rsid w:val="00DF5454"/>
    <w:rsid w:val="00FB2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DBF"/>
    <w:pPr>
      <w:spacing w:after="0" w:line="240" w:lineRule="auto"/>
    </w:pPr>
  </w:style>
  <w:style w:type="table" w:styleId="a4">
    <w:name w:val="Table Grid"/>
    <w:basedOn w:val="a1"/>
    <w:uiPriority w:val="39"/>
    <w:rsid w:val="00CE0D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E0DB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0DB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029D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7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4571/bb08493a741359ecf262608bfd4c3eca8a81e4be/" TargetMode="External"/><Relationship Id="rId13" Type="http://schemas.openxmlformats.org/officeDocument/2006/relationships/hyperlink" Target="http://www.consultant.ru/document/cons_doc_LAW_44571/d5d70ae1165351bf91950bf571109e03d40ad38f/" TargetMode="External"/><Relationship Id="rId18" Type="http://schemas.openxmlformats.org/officeDocument/2006/relationships/hyperlink" Target="http://www.consultant.ru/document/cons_doc_LAW_44571/5562a99c5788d039bef1a1f7e97b880265f4b860/" TargetMode="External"/><Relationship Id="rId26" Type="http://schemas.openxmlformats.org/officeDocument/2006/relationships/hyperlink" Target="http://www.consultant.ru/document/cons_doc_LAW_10699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44571/b4b9946f11d8e4758077c93f210340ab91e26b0c/" TargetMode="External"/><Relationship Id="rId7" Type="http://schemas.openxmlformats.org/officeDocument/2006/relationships/hyperlink" Target="http://www.consultant.ru/document/cons_doc_LAW_44571/73a0456b1c9cc2de9b0e406d6b2489a2d21103ad/" TargetMode="External"/><Relationship Id="rId12" Type="http://schemas.openxmlformats.org/officeDocument/2006/relationships/hyperlink" Target="http://www.consultant.ru/document/cons_doc_LAW_44571/8dca12e4c57dcd9672a34eadf15e13b4455e1519/" TargetMode="External"/><Relationship Id="rId17" Type="http://schemas.openxmlformats.org/officeDocument/2006/relationships/hyperlink" Target="http://www.consultant.ru/document/cons_doc_LAW_44571/6aa7ec017299caa49e315d7e44aa2c488c740b19/" TargetMode="External"/><Relationship Id="rId25" Type="http://schemas.openxmlformats.org/officeDocument/2006/relationships/hyperlink" Target="http://www.consultant.ru/document/cons_doc_LAW_11016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44571/d087a2e843ba9183f37530739b697776c3b08437/" TargetMode="External"/><Relationship Id="rId20" Type="http://schemas.openxmlformats.org/officeDocument/2006/relationships/hyperlink" Target="http://www.consultant.ru/document/cons_doc_LAW_48103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44571/4b35fb2d52507eaf3114e6abcdd9757901f513ca/" TargetMode="External"/><Relationship Id="rId11" Type="http://schemas.openxmlformats.org/officeDocument/2006/relationships/hyperlink" Target="http://www.consultant.ru/document/cons_doc_LAW_44571/037e0763307d06d4ef602c8e96101a10fe48280e/" TargetMode="External"/><Relationship Id="rId24" Type="http://schemas.openxmlformats.org/officeDocument/2006/relationships/hyperlink" Target="http://www.consultant.ru/document/cons_doc_LAW_200506/" TargetMode="External"/><Relationship Id="rId5" Type="http://schemas.openxmlformats.org/officeDocument/2006/relationships/hyperlink" Target="http://www.consultant.ru/document/cons_doc_LAW_44571/0905ef437cb2936214dddc01e5c7fe0c5d4bd812/" TargetMode="External"/><Relationship Id="rId15" Type="http://schemas.openxmlformats.org/officeDocument/2006/relationships/hyperlink" Target="http://www.consultant.ru/document/cons_doc_LAW_44571/28b3d331ddf685942f17c85bb9c1a1c1a06e4f78/" TargetMode="External"/><Relationship Id="rId23" Type="http://schemas.openxmlformats.org/officeDocument/2006/relationships/hyperlink" Target="http://www.kremlin.ru/acts/bank/1893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onsultant.ru/document/cons_doc_LAW_44571/b4b9946f11d8e4758077c93f210340ab91e26b0c/" TargetMode="External"/><Relationship Id="rId19" Type="http://schemas.openxmlformats.org/officeDocument/2006/relationships/hyperlink" Target="http://www.consultant.ru/document/cons_doc_LAW_2839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4571/d5922073c2287c999e5a2697d8fed660375eba75/" TargetMode="External"/><Relationship Id="rId14" Type="http://schemas.openxmlformats.org/officeDocument/2006/relationships/hyperlink" Target="http://www.consultant.ru/document/cons_doc_LAW_44571/5f6f7721cc98fe40947a5feaeddc79eae8b40591/" TargetMode="External"/><Relationship Id="rId22" Type="http://schemas.openxmlformats.org/officeDocument/2006/relationships/hyperlink" Target="http://www.consultant.ru/document/cons_doc_LAW_3466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2342</Words>
  <Characters>13351</Characters>
  <Application>Microsoft Office Word</Application>
  <DocSecurity>4</DocSecurity>
  <Lines>111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PC34WP03</cp:lastModifiedBy>
  <cp:revision>2</cp:revision>
  <cp:lastPrinted>2021-01-27T09:39:00Z</cp:lastPrinted>
  <dcterms:created xsi:type="dcterms:W3CDTF">2021-02-26T08:24:00Z</dcterms:created>
  <dcterms:modified xsi:type="dcterms:W3CDTF">2021-02-26T08:24:00Z</dcterms:modified>
</cp:coreProperties>
</file>